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91" w:rsidRDefault="00486C91" w:rsidP="00486C91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>Processo n (...)</w:t>
      </w: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(...), por seu procurador (documento 01), com escritório na Rua (...), São Paulo – SP, onde recebe intimações, nos autos da ação de exoneração de fiança que lhe move(...), vem,respeitosamente, perante Vossa Excelência, apresentar sua:</w:t>
      </w:r>
    </w:p>
    <w:p w:rsidR="00486C91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Default="00486C91" w:rsidP="00486C9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>CONTESTAÇÃO</w:t>
      </w:r>
    </w:p>
    <w:p w:rsidR="00486C91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C9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86C91">
        <w:rPr>
          <w:rFonts w:ascii="Times New Roman" w:hAnsi="Times New Roman" w:cs="Times New Roman"/>
          <w:sz w:val="28"/>
          <w:szCs w:val="28"/>
        </w:rPr>
        <w:t xml:space="preserve"> que faz tempestivamente, com supedâneo nos argumentos de fato e de direito que, a seguir, passa a aduzir:</w:t>
      </w:r>
    </w:p>
    <w:p w:rsidR="00486C91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>PRELIMINARMENTE (INEXISTÊNCIA DO PROCESSO)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Quanto à legitimidade passiva para a propositura da ação de exoneração de fiança, resta importante ressaltar que o locatário é  parte  legítima,  devendo  integrar  o  polo  passivo  juntamente  como</w:t>
      </w:r>
      <w:r w:rsidR="00C01D43" w:rsidRPr="00486C91">
        <w:rPr>
          <w:rFonts w:ascii="Times New Roman" w:hAnsi="Times New Roman" w:cs="Times New Roman"/>
          <w:sz w:val="28"/>
          <w:szCs w:val="28"/>
        </w:rPr>
        <w:t xml:space="preserve"> </w:t>
      </w:r>
      <w:r w:rsidR="00EF6360" w:rsidRPr="00486C91">
        <w:rPr>
          <w:rFonts w:ascii="Times New Roman" w:hAnsi="Times New Roman" w:cs="Times New Roman"/>
          <w:sz w:val="28"/>
          <w:szCs w:val="28"/>
        </w:rPr>
        <w:t>locador em virtude dos mandamentos insculpidos nos artigos 115 do Código de Processo Civil, e 40, IV, da Lei 8.245/1991.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Nem poderia ser diferente, vez que eventual – embora </w:t>
      </w:r>
      <w:r w:rsidR="00EF6360" w:rsidRPr="00486C91">
        <w:rPr>
          <w:rFonts w:ascii="Times New Roman" w:hAnsi="Times New Roman" w:cs="Times New Roman"/>
          <w:sz w:val="28"/>
          <w:szCs w:val="28"/>
        </w:rPr>
        <w:lastRenderedPageBreak/>
        <w:t>improvável – exoneração atingirá também o locatário, que deve inexoravelmente integrar o polo passivo da ação.</w:t>
      </w:r>
      <w:proofErr w:type="gramEnd"/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Segundo Tribunal de Alçada Civil de São Paulo.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“Ação declaratória – legitimidade passiva.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Locador e locatário.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Fiança.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Reconhecimento.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O artigo 47 do Código de Processo Civil [atual art. 115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]contempla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a existência de litisconsórcio necessário entre o locador e o  afiançado, tendoemvista, ainda, o disposto noartigo 40, inciso IV, daLei 8.245/1991” (Apel. 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s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/ rev. 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n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>º 541.984 – 11ª  Câm.  – Rel.  Juiz MeloBueno</w:t>
      </w:r>
      <w:r w:rsidR="00486C91"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6C91">
        <w:rPr>
          <w:rFonts w:ascii="Times New Roman" w:hAnsi="Times New Roman" w:cs="Times New Roman"/>
          <w:i/>
          <w:sz w:val="28"/>
          <w:szCs w:val="28"/>
        </w:rPr>
        <w:t>– j. em15.03.1999 (quanto à exoneração defiança).  Referências:  Arnaldo Marmitt, Fiança Civil e Comercial. Aide, p. 227. Arts 47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,  do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Código de Processo Civil [atual art. 115], e 40 da Lei 8.245/1991.  No mesmo sentido (quanto à nulidade da fiança): AI nº 505.647 – 5ª Câm. –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rel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>. Juiz Francisco Thomaz – j. em  17.09.1997).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Não foi isso que ocorreu no caso vertente, sendo mister observar que a ação foi proposta somente em face da locadora, não da locatária, não sendo suficiente sua simples ciência,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como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requerido.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No entanto, qual o efeito de a fiadora, autora da ação, não incluir,  na ação de exoneração, o locador e o locatário, propondo a ação, como no caso, somente em face dalocadora?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A resposta nos dá Luiz Rodrigues Wambier, Flávio Renato Correia de Almeida e Eduardo Talamini.Segundo eles, a sentença que exonerar o fiador será inexistente, vez que proferida em processo que igualmente inexistiu, na medida em que faltou pressuposto processual de existência (a citação de todos que deveriam ter sido citados).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Conseguintemente, sequer haverá necessidade de ação rescisória, vez que não se rescinde o que não existe, sendo de rigor a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extinção  do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processo sem resolução de mérito, nos termos do art. 485, IV, do Código de ProcessoCivil.</w:t>
      </w: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>MÉRITO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Falecimento de um dos fiadores – solidariedade que resulta na responsabilidade doremanescente</w:t>
      </w:r>
      <w:r w:rsidR="00C01D43" w:rsidRPr="00486C91">
        <w:rPr>
          <w:rFonts w:ascii="Times New Roman" w:hAnsi="Times New Roman" w:cs="Times New Roman"/>
          <w:sz w:val="28"/>
          <w:szCs w:val="28"/>
        </w:rPr>
        <w:t xml:space="preserve"> </w:t>
      </w:r>
      <w:r w:rsidR="00EF6360" w:rsidRPr="00486C91">
        <w:rPr>
          <w:rFonts w:ascii="Times New Roman" w:hAnsi="Times New Roman" w:cs="Times New Roman"/>
          <w:sz w:val="28"/>
          <w:szCs w:val="28"/>
        </w:rPr>
        <w:t>Convém verificar que o contrato (documento 02) estabeleceu a solidariedade passiva entre a locatária e a autora e seu marido, estes dois últimos fiadores do contrato de locação, inferência que se extrai da cláusula 12.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Portanto, Nobre julgador, na cláusula 12 do contrato entre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as  partes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>, a fiadora, ora autora, obrigou-se, juntamente com seu marido, solidariamente, pelas obrigações contratuais daafiançada.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Mesmo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que o contrato não fosse expresso nesse sentido, a conclusão seria extraída do art.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829,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do Código Civil, segundo o qual: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C91">
        <w:rPr>
          <w:rFonts w:ascii="Times New Roman" w:hAnsi="Times New Roman" w:cs="Times New Roman"/>
          <w:i/>
          <w:sz w:val="28"/>
          <w:szCs w:val="28"/>
        </w:rPr>
        <w:t xml:space="preserve">“A fiança conjuntamente prestada a um só débito por mais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de  uma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 pessoa importa o compromisso de</w:t>
      </w:r>
      <w:r w:rsidR="00486C91"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6C91">
        <w:rPr>
          <w:rFonts w:ascii="Times New Roman" w:hAnsi="Times New Roman" w:cs="Times New Roman"/>
          <w:i/>
          <w:sz w:val="28"/>
          <w:szCs w:val="28"/>
        </w:rPr>
        <w:t>solidariedade entre elas, se declaradamente não se reservarem o benefício de divisão.”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Nesse sentido, é remansosa a jurisprudência: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Tribunal de Justiça de São Paulo.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“Apelação Cível.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Interposição contra sentença que julgou parcialmente procedentes embargos à execução.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Contrato de locação.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Fiança.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Morte de um dos fiadores.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Subsistência da fiança em relação ao cônjuge supérstite, também signatário do pacto locatício.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Inexistência denulidadedagarantia.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Sentença mantida” (Apelação 0019371-64.2011.8.26.0001 – Relator: Mario A. Silveira – Comarca: São Paulo – Órgão julgador: 33ª Câmara de Direito Privado – data do julgamento:  15.07.2013 – Data de registro: 15.07.2013).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C91">
        <w:rPr>
          <w:rFonts w:ascii="Times New Roman" w:hAnsi="Times New Roman" w:cs="Times New Roman"/>
          <w:b/>
          <w:sz w:val="28"/>
          <w:szCs w:val="28"/>
        </w:rPr>
        <w:t>Exoneração da faculdade de pedir renúncia (cláusula 12 docontrato)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Alega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autora que “constituiu a requerida em mora” (sic). Na verdade, a notificação levada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efeito não teve qualquer consequência jurídica e, demais disso, a locadora, ora requerida, logrou contranotificar a requerente (documento 03).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De qualquer forma, ao revés do que menciona a petição inicial, o contrato expressamente estabeleceu renúncia à faculdade de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a  fiadora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pedir exoneração da fiança, na exata medida em que previu a fiança até a efetiva entrega daschaves: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“Cláusula 12.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Assina tambémeste contrato solidariamente com o locatário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por  todas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 as  obrigações  aqui  exaradas, (...), brasileiro,casado,</w:t>
      </w:r>
      <w:r w:rsidR="00C01D43" w:rsidRPr="00486C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6C91">
        <w:rPr>
          <w:rFonts w:ascii="Times New Roman" w:hAnsi="Times New Roman" w:cs="Times New Roman"/>
          <w:i/>
          <w:sz w:val="28"/>
          <w:szCs w:val="28"/>
        </w:rPr>
        <w:t xml:space="preserve">portador do RG (...), e sua esposa, (...), portadora do RG. (...), ambos inscritos no CPF (...), residentes à (...), cuja responsabilidade subsistirá até </w:t>
      </w:r>
      <w:proofErr w:type="gramStart"/>
      <w:r w:rsidRPr="00486C91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486C91">
        <w:rPr>
          <w:rFonts w:ascii="Times New Roman" w:hAnsi="Times New Roman" w:cs="Times New Roman"/>
          <w:i/>
          <w:sz w:val="28"/>
          <w:szCs w:val="28"/>
        </w:rPr>
        <w:t xml:space="preserve"> entrega, real e efetiva das chaves do imóvel   locado.”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A disposição contratual, livremente celebrada pelas partes (cláusula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12 do contrato), responsabiliza o fiador até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efetiva entrega das chaves.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Conseguintemente, implica em renúncia ao direito de pedir a vertente exoneração da fiança.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Por essa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simples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razão, o presente pedido deve ser repelido por Vossa Excelência.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A fiadora solidária, ora requerente, não pode descumprir o que avençou, ou seja, se responsabilizar até </w:t>
      </w:r>
      <w:proofErr w:type="gramStart"/>
      <w:r w:rsidR="00EF6360" w:rsidRPr="00486C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F6360" w:rsidRPr="00486C91">
        <w:rPr>
          <w:rFonts w:ascii="Times New Roman" w:hAnsi="Times New Roman" w:cs="Times New Roman"/>
          <w:sz w:val="28"/>
          <w:szCs w:val="28"/>
        </w:rPr>
        <w:t xml:space="preserve"> efetiva entrega das chaves (pacta sunt servanda).</w:t>
      </w: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>PEDIDO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Pelo exposto, requer seja acolhida a preliminar de extinção do processo em virtude do reconhecimento de sua inexistência e, se assim não entender Vossa Excelência, que seja a presente ação julgada totalmente improcedente, condenando a autora ao pagamento de custas e honorários advocatícios que Vossa Excelência houver por bem arbitrar, assim como demais ônus da sucumbência.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>Aclarando o pedido requer-se: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 xml:space="preserve">Preliminarmente, reconhecimento de inexistência do processo por ausência de formação de litisconsórcio necessário e extinção do processo </w:t>
      </w:r>
      <w:proofErr w:type="gramStart"/>
      <w:r w:rsidRPr="00486C91">
        <w:rPr>
          <w:rFonts w:ascii="Times New Roman" w:hAnsi="Times New Roman" w:cs="Times New Roman"/>
          <w:sz w:val="28"/>
          <w:szCs w:val="28"/>
        </w:rPr>
        <w:t>sem</w:t>
      </w:r>
      <w:proofErr w:type="gramEnd"/>
      <w:r w:rsidRPr="00486C91">
        <w:rPr>
          <w:rFonts w:ascii="Times New Roman" w:hAnsi="Times New Roman" w:cs="Times New Roman"/>
          <w:sz w:val="28"/>
          <w:szCs w:val="28"/>
        </w:rPr>
        <w:t xml:space="preserve"> resolução de mérito com fundamento nos artigos 115 e 485, VI, do Código de Processo Civil e art. 40, IV da Lei 8.245/1991;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>Ou, caso a preliminar não seja acatada, no mérito: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C9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86C91">
        <w:rPr>
          <w:rFonts w:ascii="Times New Roman" w:hAnsi="Times New Roman" w:cs="Times New Roman"/>
          <w:sz w:val="28"/>
          <w:szCs w:val="28"/>
        </w:rPr>
        <w:t xml:space="preserve"> julgamento da total improcedência do pedido, em razão do contrato prever, expressamente, a responsabilidade da fiadora solidária até a entrega das chaves, o que ainda nãoocorreu;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C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86C91">
        <w:rPr>
          <w:rFonts w:ascii="Times New Roman" w:hAnsi="Times New Roman" w:cs="Times New Roman"/>
          <w:sz w:val="28"/>
          <w:szCs w:val="28"/>
        </w:rPr>
        <w:t xml:space="preserve"> condenação da autora nos ônus de sucumbência, custas e honorários de advogado que Vossa Excelência houver por bem arbitrar.</w:t>
      </w:r>
    </w:p>
    <w:p w:rsid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486C91">
        <w:rPr>
          <w:rFonts w:ascii="Times New Roman" w:hAnsi="Times New Roman" w:cs="Times New Roman"/>
          <w:sz w:val="28"/>
          <w:szCs w:val="28"/>
        </w:rPr>
        <w:t>PROVAS</w:t>
      </w:r>
    </w:p>
    <w:p w:rsidR="00EF6360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Requer provar o alegado por todos os meios em direito admitidos, especialmente  pela  produção  de  </w:t>
      </w:r>
      <w:r w:rsidR="00C01D43" w:rsidRPr="00486C91">
        <w:rPr>
          <w:rFonts w:ascii="Times New Roman" w:hAnsi="Times New Roman" w:cs="Times New Roman"/>
          <w:sz w:val="28"/>
          <w:szCs w:val="28"/>
        </w:rPr>
        <w:t>prova  documental,  e  oitiva</w:t>
      </w:r>
      <w:r w:rsidR="00EF6360" w:rsidRPr="00486C91">
        <w:rPr>
          <w:rFonts w:ascii="Times New Roman" w:hAnsi="Times New Roman" w:cs="Times New Roman"/>
          <w:sz w:val="28"/>
          <w:szCs w:val="28"/>
        </w:rPr>
        <w:t xml:space="preserve"> de</w:t>
      </w:r>
      <w:r w:rsidR="00C01D43" w:rsidRPr="00486C91">
        <w:rPr>
          <w:rFonts w:ascii="Times New Roman" w:hAnsi="Times New Roman" w:cs="Times New Roman"/>
          <w:sz w:val="28"/>
          <w:szCs w:val="28"/>
        </w:rPr>
        <w:t xml:space="preserve"> </w:t>
      </w:r>
      <w:r w:rsidR="00EF6360" w:rsidRPr="00486C91">
        <w:rPr>
          <w:rFonts w:ascii="Times New Roman" w:hAnsi="Times New Roman" w:cs="Times New Roman"/>
          <w:sz w:val="28"/>
          <w:szCs w:val="28"/>
        </w:rPr>
        <w:t>testemunhas, depoimento pessoal da autora sob pena de confissão se não comparecer ou, comparecendo, se negar a depor (Código de Processo Civil, art. 385, § 1º).</w:t>
      </w:r>
    </w:p>
    <w:p w:rsidR="00EF6360" w:rsidRPr="00486C91" w:rsidRDefault="00EF6360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C91">
        <w:rPr>
          <w:rFonts w:ascii="Times New Roman" w:hAnsi="Times New Roman" w:cs="Times New Roman"/>
          <w:sz w:val="28"/>
          <w:szCs w:val="28"/>
        </w:rPr>
        <w:lastRenderedPageBreak/>
        <w:t>Cumpridas as necessárias formalidades legais, deve a presente ser recebida e juntada aos autos, renovado o processo nos termos da preliminar, ou, no mérito, rejeitado o pedido.</w:t>
      </w:r>
      <w:proofErr w:type="gramEnd"/>
    </w:p>
    <w:p w:rsidR="00486C91" w:rsidRDefault="00486C91" w:rsidP="00486C9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</w:t>
      </w:r>
      <w:proofErr w:type="gramStart"/>
      <w:r>
        <w:rPr>
          <w:rFonts w:ascii="Times New Roman" w:hAnsi="Times New Roman"/>
          <w:sz w:val="28"/>
          <w:szCs w:val="28"/>
        </w:rPr>
        <w:t>,  pede</w:t>
      </w:r>
      <w:proofErr w:type="gramEnd"/>
      <w:r>
        <w:rPr>
          <w:rFonts w:ascii="Times New Roman" w:hAnsi="Times New Roman"/>
          <w:sz w:val="28"/>
          <w:szCs w:val="28"/>
        </w:rPr>
        <w:t xml:space="preserve"> deferimento.</w:t>
      </w:r>
    </w:p>
    <w:p w:rsidR="00486C91" w:rsidRDefault="00486C91" w:rsidP="00486C9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86C91" w:rsidRDefault="00486C91" w:rsidP="00486C91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Cidade...,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486C91" w:rsidRDefault="00486C91" w:rsidP="00486C9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86C91" w:rsidRDefault="00486C91" w:rsidP="00486C9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86C91" w:rsidRDefault="00486C91" w:rsidP="00486C9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</w:p>
    <w:p w:rsidR="00486C91" w:rsidRDefault="00486C91" w:rsidP="00486C9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486C91" w:rsidRPr="00486C91" w:rsidRDefault="00486C91" w:rsidP="00486C9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486C91" w:rsidRPr="00486C91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65" w:rsidRDefault="009D0065" w:rsidP="00C31678">
      <w:r>
        <w:separator/>
      </w:r>
    </w:p>
  </w:endnote>
  <w:endnote w:type="continuationSeparator" w:id="1">
    <w:p w:rsidR="009D0065" w:rsidRDefault="009D0065" w:rsidP="00C31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C45448">
    <w:pPr>
      <w:pStyle w:val="Corpodetexto"/>
      <w:spacing w:before="0" w:line="14" w:lineRule="auto"/>
      <w:ind w:left="0"/>
      <w:rPr>
        <w:sz w:val="20"/>
      </w:rPr>
    </w:pPr>
    <w:r w:rsidRPr="00C454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486C91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65" w:rsidRDefault="009D0065" w:rsidP="00C31678">
      <w:r>
        <w:separator/>
      </w:r>
    </w:p>
  </w:footnote>
  <w:footnote w:type="continuationSeparator" w:id="1">
    <w:p w:rsidR="009D0065" w:rsidRDefault="009D0065" w:rsidP="00C31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3252"/>
    <w:multiLevelType w:val="hybridMultilevel"/>
    <w:tmpl w:val="836C63CC"/>
    <w:lvl w:ilvl="0" w:tplc="FA8A102A">
      <w:start w:val="1"/>
      <w:numFmt w:val="lowerLetter"/>
      <w:lvlText w:val="%1)"/>
      <w:lvlJc w:val="left"/>
      <w:pPr>
        <w:ind w:left="108" w:hanging="352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5062C4E">
      <w:start w:val="1"/>
      <w:numFmt w:val="bullet"/>
      <w:lvlText w:val="•"/>
      <w:lvlJc w:val="left"/>
      <w:pPr>
        <w:ind w:left="956" w:hanging="352"/>
      </w:pPr>
      <w:rPr>
        <w:rFonts w:hint="default"/>
      </w:rPr>
    </w:lvl>
    <w:lvl w:ilvl="2" w:tplc="13EC9532">
      <w:start w:val="1"/>
      <w:numFmt w:val="bullet"/>
      <w:lvlText w:val="•"/>
      <w:lvlJc w:val="left"/>
      <w:pPr>
        <w:ind w:left="1813" w:hanging="352"/>
      </w:pPr>
      <w:rPr>
        <w:rFonts w:hint="default"/>
      </w:rPr>
    </w:lvl>
    <w:lvl w:ilvl="3" w:tplc="13D40E04">
      <w:start w:val="1"/>
      <w:numFmt w:val="bullet"/>
      <w:lvlText w:val="•"/>
      <w:lvlJc w:val="left"/>
      <w:pPr>
        <w:ind w:left="2669" w:hanging="352"/>
      </w:pPr>
      <w:rPr>
        <w:rFonts w:hint="default"/>
      </w:rPr>
    </w:lvl>
    <w:lvl w:ilvl="4" w:tplc="272297C0">
      <w:start w:val="1"/>
      <w:numFmt w:val="bullet"/>
      <w:lvlText w:val="•"/>
      <w:lvlJc w:val="left"/>
      <w:pPr>
        <w:ind w:left="3526" w:hanging="352"/>
      </w:pPr>
      <w:rPr>
        <w:rFonts w:hint="default"/>
      </w:rPr>
    </w:lvl>
    <w:lvl w:ilvl="5" w:tplc="0AC20A0E">
      <w:start w:val="1"/>
      <w:numFmt w:val="bullet"/>
      <w:lvlText w:val="•"/>
      <w:lvlJc w:val="left"/>
      <w:pPr>
        <w:ind w:left="4382" w:hanging="352"/>
      </w:pPr>
      <w:rPr>
        <w:rFonts w:hint="default"/>
      </w:rPr>
    </w:lvl>
    <w:lvl w:ilvl="6" w:tplc="359AE450">
      <w:start w:val="1"/>
      <w:numFmt w:val="bullet"/>
      <w:lvlText w:val="•"/>
      <w:lvlJc w:val="left"/>
      <w:pPr>
        <w:ind w:left="5239" w:hanging="352"/>
      </w:pPr>
      <w:rPr>
        <w:rFonts w:hint="default"/>
      </w:rPr>
    </w:lvl>
    <w:lvl w:ilvl="7" w:tplc="6BF2A596">
      <w:start w:val="1"/>
      <w:numFmt w:val="bullet"/>
      <w:lvlText w:val="•"/>
      <w:lvlJc w:val="left"/>
      <w:pPr>
        <w:ind w:left="6095" w:hanging="352"/>
      </w:pPr>
      <w:rPr>
        <w:rFonts w:hint="default"/>
      </w:rPr>
    </w:lvl>
    <w:lvl w:ilvl="8" w:tplc="18946536">
      <w:start w:val="1"/>
      <w:numFmt w:val="bullet"/>
      <w:lvlText w:val="•"/>
      <w:lvlJc w:val="left"/>
      <w:pPr>
        <w:ind w:left="6952" w:hanging="352"/>
      </w:pPr>
      <w:rPr>
        <w:rFonts w:hint="default"/>
      </w:rPr>
    </w:lvl>
  </w:abstractNum>
  <w:abstractNum w:abstractNumId="1">
    <w:nsid w:val="1D7B303A"/>
    <w:multiLevelType w:val="hybridMultilevel"/>
    <w:tmpl w:val="A822C188"/>
    <w:lvl w:ilvl="0" w:tplc="091CB464">
      <w:start w:val="1"/>
      <w:numFmt w:val="lowerLetter"/>
      <w:lvlText w:val="%1)"/>
      <w:lvlJc w:val="left"/>
      <w:pPr>
        <w:ind w:left="108" w:hanging="383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14F6A4EC">
      <w:start w:val="1"/>
      <w:numFmt w:val="bullet"/>
      <w:lvlText w:val="•"/>
      <w:lvlJc w:val="left"/>
      <w:pPr>
        <w:ind w:left="958" w:hanging="383"/>
      </w:pPr>
      <w:rPr>
        <w:rFonts w:hint="default"/>
      </w:rPr>
    </w:lvl>
    <w:lvl w:ilvl="2" w:tplc="9342D1EA">
      <w:start w:val="1"/>
      <w:numFmt w:val="bullet"/>
      <w:lvlText w:val="•"/>
      <w:lvlJc w:val="left"/>
      <w:pPr>
        <w:ind w:left="1817" w:hanging="383"/>
      </w:pPr>
      <w:rPr>
        <w:rFonts w:hint="default"/>
      </w:rPr>
    </w:lvl>
    <w:lvl w:ilvl="3" w:tplc="75FCE4B0">
      <w:start w:val="1"/>
      <w:numFmt w:val="bullet"/>
      <w:lvlText w:val="•"/>
      <w:lvlJc w:val="left"/>
      <w:pPr>
        <w:ind w:left="2675" w:hanging="383"/>
      </w:pPr>
      <w:rPr>
        <w:rFonts w:hint="default"/>
      </w:rPr>
    </w:lvl>
    <w:lvl w:ilvl="4" w:tplc="FAA2B2BA">
      <w:start w:val="1"/>
      <w:numFmt w:val="bullet"/>
      <w:lvlText w:val="•"/>
      <w:lvlJc w:val="left"/>
      <w:pPr>
        <w:ind w:left="3534" w:hanging="383"/>
      </w:pPr>
      <w:rPr>
        <w:rFonts w:hint="default"/>
      </w:rPr>
    </w:lvl>
    <w:lvl w:ilvl="5" w:tplc="3E0CB544">
      <w:start w:val="1"/>
      <w:numFmt w:val="bullet"/>
      <w:lvlText w:val="•"/>
      <w:lvlJc w:val="left"/>
      <w:pPr>
        <w:ind w:left="4392" w:hanging="383"/>
      </w:pPr>
      <w:rPr>
        <w:rFonts w:hint="default"/>
      </w:rPr>
    </w:lvl>
    <w:lvl w:ilvl="6" w:tplc="6D34EDE0">
      <w:start w:val="1"/>
      <w:numFmt w:val="bullet"/>
      <w:lvlText w:val="•"/>
      <w:lvlJc w:val="left"/>
      <w:pPr>
        <w:ind w:left="5251" w:hanging="383"/>
      </w:pPr>
      <w:rPr>
        <w:rFonts w:hint="default"/>
      </w:rPr>
    </w:lvl>
    <w:lvl w:ilvl="7" w:tplc="507031E2">
      <w:start w:val="1"/>
      <w:numFmt w:val="bullet"/>
      <w:lvlText w:val="•"/>
      <w:lvlJc w:val="left"/>
      <w:pPr>
        <w:ind w:left="6109" w:hanging="383"/>
      </w:pPr>
      <w:rPr>
        <w:rFonts w:hint="default"/>
      </w:rPr>
    </w:lvl>
    <w:lvl w:ilvl="8" w:tplc="346C750C">
      <w:start w:val="1"/>
      <w:numFmt w:val="bullet"/>
      <w:lvlText w:val="•"/>
      <w:lvlJc w:val="left"/>
      <w:pPr>
        <w:ind w:left="6968" w:hanging="383"/>
      </w:pPr>
      <w:rPr>
        <w:rFonts w:hint="default"/>
      </w:rPr>
    </w:lvl>
  </w:abstractNum>
  <w:abstractNum w:abstractNumId="2">
    <w:nsid w:val="6A2B3BC9"/>
    <w:multiLevelType w:val="multilevel"/>
    <w:tmpl w:val="0998664A"/>
    <w:lvl w:ilvl="0">
      <w:start w:val="13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dirty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6360"/>
    <w:rsid w:val="00134AC6"/>
    <w:rsid w:val="003E5118"/>
    <w:rsid w:val="00486C91"/>
    <w:rsid w:val="006B65BE"/>
    <w:rsid w:val="00750A63"/>
    <w:rsid w:val="00772FE2"/>
    <w:rsid w:val="007A5AD2"/>
    <w:rsid w:val="0085146A"/>
    <w:rsid w:val="009D0065"/>
    <w:rsid w:val="00A20D77"/>
    <w:rsid w:val="00AD1060"/>
    <w:rsid w:val="00C01D43"/>
    <w:rsid w:val="00C31678"/>
    <w:rsid w:val="00C45448"/>
    <w:rsid w:val="00ED7EA6"/>
    <w:rsid w:val="00EF6360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63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EF6360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F6360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F6360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EF6360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EF6360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C01D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1D43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C01D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01D43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486C91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1104</Words>
  <Characters>5962</Characters>
  <Application>Microsoft Office Word</Application>
  <DocSecurity>0</DocSecurity>
  <Lines>49</Lines>
  <Paragraphs>14</Paragraphs>
  <ScaleCrop>false</ScaleCrop>
  <Company/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2016-03-16T22:15:00Z</dcterms:created>
  <dcterms:modified xsi:type="dcterms:W3CDTF">2016-03-23T00:37:00Z</dcterms:modified>
</cp:coreProperties>
</file>